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EF" w:rsidRDefault="00AA76EF" w:rsidP="00AA76EF">
      <w:pPr>
        <w:spacing w:before="61"/>
        <w:jc w:val="right"/>
        <w:rPr>
          <w:rFonts w:asciiTheme="majorHAnsi" w:hAnsiTheme="majorHAnsi"/>
          <w:noProof/>
          <w:color w:val="1F497D" w:themeColor="text2"/>
          <w:sz w:val="16"/>
          <w:szCs w:val="16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64178E8D" wp14:editId="70428A5C">
            <wp:extent cx="4051300" cy="537618"/>
            <wp:effectExtent l="0" t="0" r="6350" b="0"/>
            <wp:docPr id="12" name="Bild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9230" cy="53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40A" w:rsidRPr="00F4359E" w:rsidRDefault="00772386" w:rsidP="005279B2">
      <w:pPr>
        <w:spacing w:before="61"/>
        <w:rPr>
          <w:rFonts w:asciiTheme="majorHAnsi" w:eastAsia="Cambria" w:hAnsiTheme="majorHAnsi" w:cs="Cambria"/>
          <w:noProof/>
          <w:color w:val="1F497D" w:themeColor="text2"/>
          <w:sz w:val="28"/>
          <w:szCs w:val="28"/>
          <w:lang w:val="nb-NO"/>
        </w:rPr>
      </w:pP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Interv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-4"/>
          <w:sz w:val="28"/>
          <w:szCs w:val="28"/>
          <w:lang w:val="nb-NO"/>
        </w:rPr>
        <w:t>j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u med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-3"/>
          <w:sz w:val="28"/>
          <w:szCs w:val="28"/>
          <w:lang w:val="nb-NO"/>
        </w:rPr>
        <w:t xml:space="preserve"> 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an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-2"/>
          <w:sz w:val="28"/>
          <w:szCs w:val="28"/>
          <w:lang w:val="nb-NO"/>
        </w:rPr>
        <w:t>s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a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pacing w:val="-2"/>
          <w:sz w:val="28"/>
          <w:szCs w:val="28"/>
          <w:lang w:val="nb-NO"/>
        </w:rPr>
        <w:t>t</w:t>
      </w:r>
      <w:r w:rsidRPr="00F4359E">
        <w:rPr>
          <w:rFonts w:asciiTheme="majorHAnsi" w:eastAsia="Cambria" w:hAnsiTheme="majorHAnsi" w:cs="Cambria"/>
          <w:b/>
          <w:bCs/>
          <w:noProof/>
          <w:color w:val="1F497D" w:themeColor="text2"/>
          <w:sz w:val="28"/>
          <w:szCs w:val="28"/>
          <w:lang w:val="nb-NO"/>
        </w:rPr>
        <w:t>te</w:t>
      </w:r>
    </w:p>
    <w:p w:rsidR="00D0440A" w:rsidRPr="00F4359E" w:rsidRDefault="00772386">
      <w:pPr>
        <w:spacing w:line="293" w:lineRule="exact"/>
        <w:ind w:left="219"/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</w:pP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4"/>
          <w:szCs w:val="24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h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2"/>
          <w:sz w:val="24"/>
          <w:szCs w:val="24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t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2"/>
          <w:sz w:val="24"/>
          <w:szCs w:val="24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4"/>
          <w:szCs w:val="24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4"/>
          <w:szCs w:val="24"/>
          <w:lang w:val="nb-NO"/>
        </w:rPr>
        <w:t>(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s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2"/>
          <w:sz w:val="24"/>
          <w:szCs w:val="24"/>
          <w:lang w:val="nb-NO"/>
        </w:rPr>
        <w:t>k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riv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4"/>
          <w:szCs w:val="24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i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4"/>
          <w:szCs w:val="24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5"/>
          <w:sz w:val="24"/>
          <w:szCs w:val="24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na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4"/>
          <w:szCs w:val="24"/>
          <w:lang w:val="nb-NO"/>
        </w:rPr>
        <w:t>v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2"/>
          <w:sz w:val="24"/>
          <w:szCs w:val="24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t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4"/>
          <w:szCs w:val="24"/>
          <w:lang w:val="nb-NO"/>
        </w:rPr>
        <w:t>)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:</w:t>
      </w:r>
    </w:p>
    <w:p w:rsidR="00D0440A" w:rsidRPr="00F4359E" w:rsidRDefault="00D0440A">
      <w:pPr>
        <w:spacing w:before="5" w:line="240" w:lineRule="exact"/>
        <w:rPr>
          <w:rFonts w:asciiTheme="majorHAnsi" w:hAnsiTheme="majorHAnsi"/>
          <w:noProof/>
          <w:color w:val="1F497D" w:themeColor="text2"/>
          <w:sz w:val="24"/>
          <w:szCs w:val="24"/>
          <w:lang w:val="nb-NO"/>
        </w:rPr>
      </w:pPr>
    </w:p>
    <w:p w:rsidR="00D0440A" w:rsidRPr="00F4359E" w:rsidRDefault="00772386">
      <w:pPr>
        <w:ind w:left="219"/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</w:pP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A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4"/>
          <w:szCs w:val="24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tall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7"/>
          <w:sz w:val="24"/>
          <w:szCs w:val="24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a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4"/>
          <w:szCs w:val="24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s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4"/>
          <w:szCs w:val="24"/>
          <w:lang w:val="nb-NO"/>
        </w:rPr>
        <w:t>a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tte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6"/>
          <w:sz w:val="24"/>
          <w:szCs w:val="24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4"/>
          <w:szCs w:val="24"/>
          <w:lang w:val="nb-NO"/>
        </w:rPr>
        <w:t>(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ev.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4"/>
          <w:szCs w:val="24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i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4"/>
          <w:szCs w:val="24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2"/>
          <w:sz w:val="24"/>
          <w:szCs w:val="24"/>
          <w:lang w:val="nb-NO"/>
        </w:rPr>
        <w:t>k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l.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4"/>
          <w:szCs w:val="24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4"/>
          <w:szCs w:val="24"/>
          <w:lang w:val="nb-NO"/>
        </w:rPr>
        <w:t>f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aggr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4"/>
          <w:szCs w:val="24"/>
          <w:lang w:val="nb-NO"/>
        </w:rPr>
        <w:t>u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p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2"/>
          <w:sz w:val="24"/>
          <w:szCs w:val="24"/>
          <w:lang w:val="nb-NO"/>
        </w:rPr>
        <w:t>p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er):</w:t>
      </w: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tbl>
      <w:tblPr>
        <w:tblStyle w:val="Tabellrutenett"/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330D18" w:rsidRPr="00F4359E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5"/>
              </w:numPr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Hensikten er åpne spørsmål som fremmer diskusjon - spesielt rundt fokus som har oppstått i gjennomgang av standardene i ledergruppen. Noterer spesielt tips ansatte kommer med for forbedring.</w:t>
            </w:r>
          </w:p>
        </w:tc>
      </w:tr>
      <w:tr w:rsidR="00330D18" w:rsidRPr="00F4359E" w:rsidTr="00772386">
        <w:trPr>
          <w:trHeight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Miljø og fasiliteter</w:t>
            </w: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enheten et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godt sted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å være for ansatte og pasienter? – godt vedlikeholdt, rent, passende størrelse til rom osv.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miljøpersonale, leger og psykologer nok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kontor plass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øremerket seg? – med adgang til IKT/skriveplass?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Synes dere enheten er et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trygt sted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å være for ansatte og pasienter? – har dere et fungerende alarmsystem?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Trygg angå. egne eiendeler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Låsbare garderobeskap?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Bemanning og opplæring</w:t>
            </w: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Grunnbemanningen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Forsvarlig på dag, kveld, natt og helg?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ansvarshavende myndighet til å tilkalle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ekstra bemanning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ved behov? – mulig å få tak i på kort varsel? Alarmsamarbeid?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Veiledning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Hvordan foregår den for de ulike profesjonene? – alt i tråd med utdanningskrav?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Tver</w:t>
            </w:r>
            <w:r w:rsidR="00A5239F"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r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faglighet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Organiserte møter med fokus på tver</w:t>
            </w:r>
            <w:r w:rsidR="00A5239F"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rfaglighet og felles refle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k</w:t>
            </w:r>
            <w:r w:rsidR="00A5239F"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s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jon på praksis?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Etter- og videreutdanning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Oppmuntring til deltagelse? I tråd med individuell utviklingsplan – enhetens opplæringsplan? Er dere tatt med i oppdateringen av enhetens opplæringsplan?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lastRenderedPageBreak/>
              <w:t>Utviklingsbehov som ikke blir utviklet/ivaretatt?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det klart differensierte roller og ansvar for alle i behandlingsteamene?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Vaktskiftene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Fungere de greit? Fastemøtepunkter? Nok tid?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Teamsamarbeid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respekt for profesjonenes egne art? Samarbeidsklimaet?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F753C0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A23DC2">
              <w:rPr>
                <w:rFonts w:asciiTheme="majorHAnsi" w:hAnsiTheme="majorHAnsi"/>
                <w:b/>
                <w:color w:val="1F497D" w:themeColor="text2"/>
                <w:lang w:val="nb-NO"/>
              </w:rPr>
              <w:t>Informasjon</w:t>
            </w:r>
            <w:r w:rsidRPr="00A23DC2">
              <w:rPr>
                <w:rFonts w:asciiTheme="majorHAnsi" w:hAnsiTheme="majorHAnsi"/>
                <w:color w:val="1F497D" w:themeColor="text2"/>
                <w:lang w:val="nb-NO"/>
              </w:rPr>
              <w:t xml:space="preserve">: </w:t>
            </w:r>
            <w:r>
              <w:rPr>
                <w:rFonts w:asciiTheme="majorHAnsi" w:hAnsiTheme="majorHAnsi"/>
                <w:color w:val="1F497D" w:themeColor="text2"/>
                <w:lang w:val="nb-NO"/>
              </w:rPr>
              <w:t xml:space="preserve">Er prosedyrer og </w:t>
            </w:r>
            <w:r w:rsidRPr="00A23DC2">
              <w:rPr>
                <w:rFonts w:asciiTheme="majorHAnsi" w:hAnsiTheme="majorHAnsi"/>
                <w:color w:val="1F497D" w:themeColor="text2"/>
                <w:lang w:val="nb-NO"/>
              </w:rPr>
              <w:t xml:space="preserve">behandlingsrelatert informasjon </w:t>
            </w:r>
            <w:r>
              <w:rPr>
                <w:rFonts w:asciiTheme="majorHAnsi" w:hAnsiTheme="majorHAnsi"/>
                <w:color w:val="1F497D" w:themeColor="text2"/>
                <w:lang w:val="nb-NO"/>
              </w:rPr>
              <w:t>tilstrekkelig skriftliggjort og tilgjengeliggjort?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Innleggelse og utskriving</w:t>
            </w: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Involvering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Blir alles meninger hørt ved vurdering av innleggelser og planlegging av pasientenes opphold?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tabs>
                <w:tab w:val="left" w:pos="2235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Forberedelse til utskriving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Blir ungdommene, og deres familier, godt nok forberedt? – hva blir da på plass?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Hvordan er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samarbeidet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med poliklinikkene og med barnevernet?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Behandling og omsorg</w:t>
            </w: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Tilpasset opplegg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Individuelt tilrettelagt? Behandling, fysisk aktivitet – inne/ute, fritidsaktiviteter. Skole? Ved involvering av pasientene?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tabs>
                <w:tab w:val="center" w:pos="3051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Bredden i tilbudet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Nok aktiviteter? Ungdommenes medvirkning?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Planene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Ungdommenes rolle når planer lages (behandling, krise/mestring, individuelle…). Hvordan blir de i praksis inkludert – med kopier av planene sine?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Foreldrenes rolle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Under innskriving, opphold, utskriving?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Informasjon, samtykke og taushetsplikt</w:t>
            </w: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lastRenderedPageBreak/>
              <w:t>Ungdommenes forståelse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Hva tror dere om ungdommens forståelse av innleggelse og planene?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Adgang til informasjon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Har alle ved enheten tilgang til nødvendige opplysninger om behandlingen til pasientene?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Samtykke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Håndtering av samtykke, taushetsplikt og opplysningsplikt. Finnes det klare retningslinjer?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Rettigheter og lovverket</w:t>
            </w: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Fungerer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kontrollkommisjonen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som en sikkerhet for ungdommenes rettigheter?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Brukerorganisasjoner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Blir ungdommene opplyst om de? Hvordan?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Klinisk virksomhetsstyring</w:t>
            </w:r>
          </w:p>
        </w:tc>
      </w:tr>
      <w:tr w:rsidR="00330D18" w:rsidRPr="00F753C0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F753C0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Finnes det de nødvendige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retningslinjer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ved enheten (bruk av mobil tlf., røyking, besøk, utgang</w:t>
            </w:r>
            <w:r w:rsidR="00F753C0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m.m.? </w:t>
            </w:r>
            <w:bookmarkStart w:id="0" w:name="_GoBack"/>
            <w:bookmarkEnd w:id="0"/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  lett tilgjengelige? Er det noen hindringer for at retningslinjene blir fulgt?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</w:tbl>
    <w:p w:rsidR="00772386" w:rsidRPr="00F4359E" w:rsidRDefault="00772386" w:rsidP="00522A4D">
      <w:pPr>
        <w:spacing w:before="120" w:after="120"/>
        <w:rPr>
          <w:rFonts w:asciiTheme="majorHAnsi" w:hAnsiTheme="majorHAnsi"/>
          <w:noProof/>
          <w:color w:val="1F497D" w:themeColor="text2"/>
          <w:lang w:val="nb-NO"/>
        </w:rPr>
      </w:pPr>
    </w:p>
    <w:sectPr w:rsidR="00772386" w:rsidRPr="00F4359E">
      <w:footerReference w:type="default" r:id="rId10"/>
      <w:pgSz w:w="11907" w:h="16840"/>
      <w:pgMar w:top="1160" w:right="700" w:bottom="760" w:left="1300" w:header="74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6E" w:rsidRDefault="00CF6C6E">
      <w:r>
        <w:separator/>
      </w:r>
    </w:p>
  </w:endnote>
  <w:endnote w:type="continuationSeparator" w:id="0">
    <w:p w:rsidR="00CF6C6E" w:rsidRDefault="00CF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6E" w:rsidRDefault="00CF6C6E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5002" behindDoc="1" locked="0" layoutInCell="1" allowOverlap="1" wp14:anchorId="3D5E846F" wp14:editId="6E0B5D47">
              <wp:simplePos x="0" y="0"/>
              <wp:positionH relativeFrom="page">
                <wp:posOffset>6494145</wp:posOffset>
              </wp:positionH>
              <wp:positionV relativeFrom="page">
                <wp:posOffset>10186035</wp:posOffset>
              </wp:positionV>
              <wp:extent cx="19431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C6E" w:rsidRDefault="00CF6C6E">
                          <w:pPr>
                            <w:pStyle w:val="Brd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3C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802.05pt;width:15.3pt;height:13.05pt;z-index:-1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Ec+lI4QAAAA8BAAAP&#10;AAAAZHJzL2Rvd25yZXYueG1sTI/BTsMwEETvSPyDtUjcqN0EAoQ4VYXghIRIw4GjE7uJ1XgdYrcN&#10;f8/mBLed3dHsm2Izu4GdzBSsRwnrlQBmsPXaYifhs369eQAWokKtBo9Gwo8JsCkvLwqVa3/Gypx2&#10;sWMUgiFXEvoYx5zz0PbGqbDyo0G67f3kVCQ5dVxP6kzhbuCJEBl3yiJ96NVonnvTHnZHJ2H7hdWL&#10;/X5vPqp9Zev6UeBbdpDy+mrePgGLZo5/ZljwCR1KYmr8EXVgA2mRJPfkpSkTt2tgi0fcpSmwZtml&#10;IgFeFvx/j/IX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hHPpSOEAAAAPAQAADwAA&#10;AAAAAAAAAAAAAAAEBQAAZHJzL2Rvd25yZXYueG1sUEsFBgAAAAAEAAQA8wAAABIGAAAAAA==&#10;" filled="f" stroked="f">
              <v:textbox inset="0,0,0,0">
                <w:txbxContent>
                  <w:p w:rsidR="00CF6C6E" w:rsidRDefault="00CF6C6E">
                    <w:pPr>
                      <w:pStyle w:val="Brd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53C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6E" w:rsidRDefault="00CF6C6E">
      <w:r>
        <w:separator/>
      </w:r>
    </w:p>
  </w:footnote>
  <w:footnote w:type="continuationSeparator" w:id="0">
    <w:p w:rsidR="00CF6C6E" w:rsidRDefault="00CF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696"/>
    <w:multiLevelType w:val="hybridMultilevel"/>
    <w:tmpl w:val="2D6E5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8A1"/>
    <w:multiLevelType w:val="hybridMultilevel"/>
    <w:tmpl w:val="D2C08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511D"/>
    <w:multiLevelType w:val="hybridMultilevel"/>
    <w:tmpl w:val="2632BA1E"/>
    <w:lvl w:ilvl="0" w:tplc="8400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575F"/>
    <w:multiLevelType w:val="hybridMultilevel"/>
    <w:tmpl w:val="39F0F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D1872"/>
    <w:multiLevelType w:val="hybridMultilevel"/>
    <w:tmpl w:val="A96E82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D64E11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9C735D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A34AA1"/>
    <w:multiLevelType w:val="hybridMultilevel"/>
    <w:tmpl w:val="A5F0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E7591"/>
    <w:multiLevelType w:val="hybridMultilevel"/>
    <w:tmpl w:val="D5549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77C41"/>
    <w:multiLevelType w:val="hybridMultilevel"/>
    <w:tmpl w:val="432C821C"/>
    <w:lvl w:ilvl="0" w:tplc="F0B0465A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D20F1C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6982B58">
      <w:start w:val="1"/>
      <w:numFmt w:val="bullet"/>
      <w:lvlText w:val="•"/>
      <w:lvlJc w:val="left"/>
      <w:rPr>
        <w:rFonts w:hint="default"/>
      </w:rPr>
    </w:lvl>
    <w:lvl w:ilvl="3" w:tplc="1C0C52F8">
      <w:start w:val="1"/>
      <w:numFmt w:val="bullet"/>
      <w:lvlText w:val="•"/>
      <w:lvlJc w:val="left"/>
      <w:rPr>
        <w:rFonts w:hint="default"/>
      </w:rPr>
    </w:lvl>
    <w:lvl w:ilvl="4" w:tplc="78025726">
      <w:start w:val="1"/>
      <w:numFmt w:val="bullet"/>
      <w:lvlText w:val="•"/>
      <w:lvlJc w:val="left"/>
      <w:rPr>
        <w:rFonts w:hint="default"/>
      </w:rPr>
    </w:lvl>
    <w:lvl w:ilvl="5" w:tplc="A6C46198">
      <w:start w:val="1"/>
      <w:numFmt w:val="bullet"/>
      <w:lvlText w:val="•"/>
      <w:lvlJc w:val="left"/>
      <w:rPr>
        <w:rFonts w:hint="default"/>
      </w:rPr>
    </w:lvl>
    <w:lvl w:ilvl="6" w:tplc="A03835AC">
      <w:start w:val="1"/>
      <w:numFmt w:val="bullet"/>
      <w:lvlText w:val="•"/>
      <w:lvlJc w:val="left"/>
      <w:rPr>
        <w:rFonts w:hint="default"/>
      </w:rPr>
    </w:lvl>
    <w:lvl w:ilvl="7" w:tplc="55481764">
      <w:start w:val="1"/>
      <w:numFmt w:val="bullet"/>
      <w:lvlText w:val="•"/>
      <w:lvlJc w:val="left"/>
      <w:rPr>
        <w:rFonts w:hint="default"/>
      </w:rPr>
    </w:lvl>
    <w:lvl w:ilvl="8" w:tplc="CCD0DEB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CE01A81"/>
    <w:multiLevelType w:val="hybridMultilevel"/>
    <w:tmpl w:val="D3BE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8122F"/>
    <w:multiLevelType w:val="hybridMultilevel"/>
    <w:tmpl w:val="B0F06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A"/>
    <w:rsid w:val="00015B71"/>
    <w:rsid w:val="00082923"/>
    <w:rsid w:val="000B77D3"/>
    <w:rsid w:val="000E2EE1"/>
    <w:rsid w:val="0010448D"/>
    <w:rsid w:val="00284C48"/>
    <w:rsid w:val="002A2972"/>
    <w:rsid w:val="00330D18"/>
    <w:rsid w:val="00413EA0"/>
    <w:rsid w:val="0041599F"/>
    <w:rsid w:val="00482FEA"/>
    <w:rsid w:val="004833C7"/>
    <w:rsid w:val="00493274"/>
    <w:rsid w:val="00502278"/>
    <w:rsid w:val="00522A4D"/>
    <w:rsid w:val="005279B2"/>
    <w:rsid w:val="005C3414"/>
    <w:rsid w:val="005F0FF2"/>
    <w:rsid w:val="00687358"/>
    <w:rsid w:val="006C61FF"/>
    <w:rsid w:val="00772386"/>
    <w:rsid w:val="007A16A0"/>
    <w:rsid w:val="00937B21"/>
    <w:rsid w:val="00955470"/>
    <w:rsid w:val="009F66A2"/>
    <w:rsid w:val="00A07DEA"/>
    <w:rsid w:val="00A5239F"/>
    <w:rsid w:val="00AA76EF"/>
    <w:rsid w:val="00B152E6"/>
    <w:rsid w:val="00B77477"/>
    <w:rsid w:val="00B84602"/>
    <w:rsid w:val="00BD40FE"/>
    <w:rsid w:val="00CF6C6E"/>
    <w:rsid w:val="00D0440A"/>
    <w:rsid w:val="00D5179D"/>
    <w:rsid w:val="00DF6A00"/>
    <w:rsid w:val="00E02E58"/>
    <w:rsid w:val="00EA2BAE"/>
    <w:rsid w:val="00EB6375"/>
    <w:rsid w:val="00F11385"/>
    <w:rsid w:val="00F4359E"/>
    <w:rsid w:val="00F753C0"/>
    <w:rsid w:val="00F928D7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988F-3380-4CFC-91C1-FC6FB661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 Wilkinson</dc:creator>
  <cp:lastModifiedBy>Kari Lorentzen</cp:lastModifiedBy>
  <cp:revision>4</cp:revision>
  <dcterms:created xsi:type="dcterms:W3CDTF">2020-01-02T09:30:00Z</dcterms:created>
  <dcterms:modified xsi:type="dcterms:W3CDTF">2020-01-02T13:42:00Z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2017-04-28T00:00:00Z</vt:filetime>
  </property>
</Properties>
</file>